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A840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 w14:paraId="588EE32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大学生社会实践调研课题立项的通知</w:t>
      </w:r>
    </w:p>
    <w:p w14:paraId="1B8D5789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1814728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EEEA2C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有关课题负责人：</w:t>
      </w:r>
    </w:p>
    <w:p w14:paraId="3DCB88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山东省现代文化旅游研究院大学生社会实践调研课题立项的通知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已经公布，现将课题结项验收有关事宜通知如下：</w:t>
      </w:r>
    </w:p>
    <w:p w14:paraId="33C2674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一、缴纳课题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 w14:paraId="6819E6A6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根据课题立项通知，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大学生社会实践调研课题立项的通知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大学生社会实践调研课题立项的通知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sz w:val="28"/>
          <w:szCs w:val="28"/>
        </w:rPr>
        <w:t>包含专家评审费、专家鉴定费、证书工本费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486C98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 w14:paraId="417960AD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山东省现代文化旅游研究院</w:t>
      </w:r>
    </w:p>
    <w:p w14:paraId="65757931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中国银行济南历下支行营业部</w:t>
      </w:r>
    </w:p>
    <w:p w14:paraId="1E9BD61F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 w14:paraId="4D46FA9D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 w14:paraId="10D3E1A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注意事项：汇款时注明课题负责人及课题编号。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sd2023@126.com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 w14:paraId="1165E3F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 w14:paraId="66F0E462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课题承担单位或课题负责人将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完毕，课题立项证书由申报单位集中领取或课题负责人领取。</w:t>
      </w:r>
    </w:p>
    <w:p w14:paraId="4EDAE645"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3C3FA8B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 w14:paraId="65547B8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 w14:paraId="58A4769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 w14:paraId="1D01369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08BD825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 w14:paraId="2D8CAEF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71D88E9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1、课题鉴定结项申请书一式二份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7A5867B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177B1EC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53B833BE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6CAF3C8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sd66669767@126.com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</w:p>
    <w:p w14:paraId="2E80142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四、材料邮寄</w:t>
      </w:r>
    </w:p>
    <w:p w14:paraId="763D71A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结项材料邮寄地址：济南市历下区文化东路63号恒大帝景写字楼909办公室，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收；联系电话：0531-66669765。</w:t>
      </w:r>
    </w:p>
    <w:p w14:paraId="01040F11">
      <w:pPr>
        <w:rPr>
          <w:rFonts w:hint="eastAsia"/>
          <w:lang w:val="en-US" w:eastAsia="zh-CN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71B4EC5"/>
    <w:rsid w:val="0B413134"/>
    <w:rsid w:val="14703394"/>
    <w:rsid w:val="159653FD"/>
    <w:rsid w:val="1BFD0D1C"/>
    <w:rsid w:val="1CAE2016"/>
    <w:rsid w:val="1DC007FB"/>
    <w:rsid w:val="207A26D7"/>
    <w:rsid w:val="20975A1C"/>
    <w:rsid w:val="26EE4083"/>
    <w:rsid w:val="27E64D5A"/>
    <w:rsid w:val="2FC23912"/>
    <w:rsid w:val="2FC35981"/>
    <w:rsid w:val="33E6018F"/>
    <w:rsid w:val="3A067668"/>
    <w:rsid w:val="3C9840C9"/>
    <w:rsid w:val="42815953"/>
    <w:rsid w:val="436533A7"/>
    <w:rsid w:val="480F24E8"/>
    <w:rsid w:val="4F950C90"/>
    <w:rsid w:val="512F2A1E"/>
    <w:rsid w:val="54492049"/>
    <w:rsid w:val="54BE18A0"/>
    <w:rsid w:val="55B93190"/>
    <w:rsid w:val="5BD4669C"/>
    <w:rsid w:val="5D2B2006"/>
    <w:rsid w:val="6F571666"/>
    <w:rsid w:val="72CB5087"/>
    <w:rsid w:val="7354438F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888</Words>
  <Characters>988</Characters>
  <Lines>0</Lines>
  <Paragraphs>0</Paragraphs>
  <TotalTime>19</TotalTime>
  <ScaleCrop>false</ScaleCrop>
  <LinksUpToDate>false</LinksUpToDate>
  <CharactersWithSpaces>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2025-07-21T05:56:53Z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308EDFA6BE36409C8760ABA85199F3F2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